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5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贵州民族大学</w:t>
      </w:r>
      <w:r>
        <w:rPr>
          <w:rFonts w:hint="eastAsia" w:ascii="黑体" w:hAnsi="黑体" w:eastAsia="黑体"/>
          <w:b/>
          <w:sz w:val="36"/>
          <w:szCs w:val="36"/>
        </w:rPr>
        <w:t>学生活动中心礼堂</w:t>
      </w:r>
      <w:r>
        <w:rPr>
          <w:rFonts w:hint="eastAsia" w:ascii="黑体" w:hAnsi="黑体" w:eastAsia="黑体"/>
          <w:sz w:val="36"/>
          <w:szCs w:val="36"/>
        </w:rPr>
        <w:t>申请表</w:t>
      </w:r>
    </w:p>
    <w:tbl>
      <w:tblPr>
        <w:tblStyle w:val="4"/>
        <w:tblW w:w="926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901"/>
        <w:gridCol w:w="1828"/>
        <w:gridCol w:w="27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活动性质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□校级活动   □学院活动   □学生组织活动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□学术讲座   □其它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申请场地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□花溪校区   □大学城校区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使用日期</w:t>
            </w:r>
          </w:p>
        </w:tc>
        <w:tc>
          <w:tcPr>
            <w:tcW w:w="2901" w:type="dxa"/>
            <w:tcBorders>
              <w:right w:val="single" w:color="auto" w:sz="4" w:space="0"/>
            </w:tcBorders>
          </w:tcPr>
          <w:p>
            <w:pPr>
              <w:ind w:left="420" w:hanging="420" w:hanging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月  日     </w:t>
            </w:r>
          </w:p>
        </w:tc>
        <w:tc>
          <w:tcPr>
            <w:tcW w:w="182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419" w:leftChars="133" w:hanging="140" w:hanging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使用时间</w:t>
            </w:r>
          </w:p>
        </w:tc>
        <w:tc>
          <w:tcPr>
            <w:tcW w:w="2795" w:type="dxa"/>
            <w:tcBorders>
              <w:left w:val="single" w:color="auto" w:sz="4" w:space="0"/>
            </w:tcBorders>
          </w:tcPr>
          <w:p>
            <w:pPr>
              <w:ind w:left="420" w:hanging="420" w:hanging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时 ——    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所需器材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□调音   □灯光   □投影仪   □电脑     □LED屏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□有线话筒（数量)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□无线话筒（数量）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□话筒架（数量)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  □其他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活动单位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党政领导</w:t>
            </w:r>
            <w:r>
              <w:rPr>
                <w:rFonts w:hint="eastAsia" w:ascii="仿宋" w:hAnsi="仿宋" w:eastAsia="仿宋"/>
                <w:b/>
                <w:bCs/>
                <w:color w:val="000000"/>
                <w:spacing w:val="13"/>
                <w:sz w:val="28"/>
                <w:szCs w:val="28"/>
              </w:rPr>
              <w:t>现场责任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保卫处意见</w:t>
            </w:r>
          </w:p>
        </w:tc>
        <w:tc>
          <w:tcPr>
            <w:tcW w:w="7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后勤管理处意见</w:t>
            </w:r>
          </w:p>
        </w:tc>
        <w:tc>
          <w:tcPr>
            <w:tcW w:w="75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国际交流合作处意见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（涉及境外人员参与的活动必须填写此栏）</w:t>
            </w:r>
          </w:p>
        </w:tc>
        <w:tc>
          <w:tcPr>
            <w:tcW w:w="75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宣传部意见</w:t>
            </w:r>
          </w:p>
        </w:tc>
        <w:tc>
          <w:tcPr>
            <w:tcW w:w="7524" w:type="dxa"/>
            <w:gridSpan w:val="3"/>
            <w:tcBorders>
              <w:top w:val="single" w:color="auto" w:sz="4" w:space="0"/>
            </w:tcBorders>
            <w:vAlign w:val="bottom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6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/>
                <w:szCs w:val="21"/>
              </w:rPr>
              <w:t>1.使用方应遵守国家法律和学校规定，严把意识形态关，杜绝一切不当标语、横幅、LED字幕等；2.使用场地应服从管理，注意防火防盗、安全, 不在舞台以外的任何地方粘贴和布置装饰物,不擅自使用、挪动、更改、撤换确保设备设施,使用完毕，清除装饰物、垃圾，并归位相关设备设施；3.学院活动申请由学院党委书记或院长审批签字，学生组织活动由相关部门负责人审批签字；4.活动现场责任人必须是处干，负责活动总安全和场地交结；5.本表一式四份，宣传部、保卫处、申请单位、后勤管理处（物业管理）各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07D0B"/>
    <w:rsid w:val="00777A87"/>
    <w:rsid w:val="00982483"/>
    <w:rsid w:val="00C761B7"/>
    <w:rsid w:val="00E720E0"/>
    <w:rsid w:val="04F93C62"/>
    <w:rsid w:val="1E8E0519"/>
    <w:rsid w:val="2F2B5D38"/>
    <w:rsid w:val="58607D0B"/>
    <w:rsid w:val="70D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870</Characters>
  <Lines>7</Lines>
  <Paragraphs>2</Paragraphs>
  <TotalTime>7</TotalTime>
  <ScaleCrop>false</ScaleCrop>
  <LinksUpToDate>false</LinksUpToDate>
  <CharactersWithSpaces>1020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2021-03-16T06:06:00Z</dcterms:created>
  <dc:creator>如梦似幻</dc:creator>
  <cp:lastModifiedBy>wudan</cp:lastModifiedBy>
  <dcterms:modified xsi:type="dcterms:W3CDTF">2021-04-12T09:25:03Z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7A0127D6ABA04C1FB59E414AA8709740</vt:lpwstr>
  </property>
</Properties>
</file>